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media/image1.png" ContentType="image/png"/>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customXml/item1.xml" ContentType="application/xml"/>
  <Override PartName="/customXml/itemProps1.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DejaVu Sans" w:hAnsi="DejaVu Sans"/>
          <w:b/>
          <w:bCs/>
          <w:u w:val="single"/>
        </w:rPr>
      </w:pPr>
      <w:r>
        <w:rPr>
          <w:rStyle w:val="Strong"/>
          <w:rFonts w:ascii="Carlito" w:hAnsi="Carlito"/>
          <w:b/>
          <w:i w:val="false"/>
          <w:caps w:val="false"/>
          <w:smallCaps w:val="false"/>
          <w:color w:val="0A0A0A"/>
          <w:spacing w:val="0"/>
          <w:sz w:val="30"/>
          <w:u w:val="none"/>
        </w:rPr>
        <w:t xml:space="preserve">                            </w:t>
      </w:r>
      <w:r>
        <w:rPr>
          <w:rStyle w:val="Strong"/>
          <w:rFonts w:ascii="Carlito" w:hAnsi="Carlito"/>
          <w:b/>
          <w:i w:val="false"/>
          <w:caps w:val="false"/>
          <w:smallCaps w:val="false"/>
          <w:color w:val="0A0A0A"/>
          <w:spacing w:val="0"/>
          <w:sz w:val="30"/>
          <w:u w:val="single"/>
        </w:rPr>
        <w:t>AGM 2026: The Last 12-ish  Months in Review</w:t>
      </w:r>
    </w:p>
    <w:p>
      <w:pPr>
        <w:pStyle w:val="Normal"/>
        <w:rPr>
          <w:rStyle w:val="Strong"/>
          <w:rFonts w:ascii="Carlito" w:hAnsi="Carlito"/>
          <w:b/>
          <w:i w:val="false"/>
          <w:caps w:val="false"/>
          <w:smallCaps w:val="false"/>
          <w:color w:val="0A0A0A"/>
          <w:spacing w:val="0"/>
          <w:sz w:val="30"/>
          <w:u w:val="none"/>
        </w:rPr>
      </w:pPr>
      <w:r>
        <w:rPr>
          <w:rFonts w:ascii="Carlito" w:hAnsi="Carlito"/>
          <w:b/>
          <w:i w:val="false"/>
          <w:caps w:val="false"/>
          <w:smallCaps w:val="false"/>
          <w:color w:val="0A0A0A"/>
          <w:spacing w:val="0"/>
          <w:sz w:val="30"/>
          <w:u w:val="none"/>
        </w:rPr>
      </w:r>
    </w:p>
    <w:p>
      <w:pPr>
        <w:pStyle w:val="Normal"/>
        <w:rPr>
          <w:rFonts w:ascii="DejaVu Sans" w:hAnsi="DejaVu Sans"/>
          <w:b/>
          <w:bCs/>
          <w:u w:val="single"/>
        </w:rPr>
      </w:pPr>
      <w:r>
        <w:rPr>
          <w:rStyle w:val="Strong"/>
          <w:rFonts w:ascii="Carlito" w:hAnsi="Carlito"/>
          <w:b/>
          <w:i w:val="false"/>
          <w:caps w:val="false"/>
          <w:smallCaps w:val="false"/>
          <w:color w:val="0A0A0A"/>
          <w:spacing w:val="0"/>
          <w:sz w:val="30"/>
          <w:u w:val="none"/>
        </w:rPr>
        <w:t>Co-op Governance &amp; Team</w:t>
      </w:r>
    </w:p>
    <w:p>
      <w:pPr>
        <w:pStyle w:val="Normal"/>
        <w:widowControl/>
        <w:spacing w:lineRule="atLeast" w:line="360" w:before="0" w:after="180"/>
        <w:ind w:hanging="0" w:start="0" w:end="0"/>
        <w:rPr>
          <w:rFonts w:ascii="Carlito" w:hAnsi="Carlito"/>
          <w:b w:val="false"/>
          <w:i w:val="false"/>
          <w:caps w:val="false"/>
          <w:smallCaps w:val="false"/>
          <w:color w:val="0A0A0A"/>
          <w:spacing w:val="0"/>
          <w:sz w:val="24"/>
        </w:rPr>
      </w:pPr>
      <w:r>
        <w:rPr>
          <w:rFonts w:ascii="Carlito" w:hAnsi="Carlito"/>
          <w:b w:val="false"/>
          <w:i w:val="false"/>
          <w:caps w:val="false"/>
          <w:smallCaps w:val="false"/>
          <w:color w:val="0A0A0A"/>
          <w:spacing w:val="0"/>
          <w:sz w:val="24"/>
        </w:rPr>
        <w:t>Since the 2025 AGM, Jan, Isobel, and SJ have served as voluntary Directors. Following the formal installation of the ‘Board of Committee Members,’ we have met approximately every six weeks to monitor operations, set priorities, and make collaborative decisions.</w:t>
      </w:r>
    </w:p>
    <w:p>
      <w:pPr>
        <w:pStyle w:val="Normal"/>
        <w:widowControl/>
        <w:spacing w:lineRule="atLeast" w:line="360" w:before="0" w:after="180"/>
        <w:ind w:hanging="0" w:start="0" w:end="0"/>
        <w:rPr>
          <w:rFonts w:ascii="Carlito" w:hAnsi="Carlito"/>
          <w:b w:val="false"/>
          <w:i w:val="false"/>
          <w:caps w:val="false"/>
          <w:smallCaps w:val="false"/>
          <w:color w:val="0A0A0A"/>
          <w:spacing w:val="0"/>
          <w:sz w:val="24"/>
        </w:rPr>
      </w:pPr>
      <w:r>
        <w:rPr>
          <w:rFonts w:ascii="Carlito" w:hAnsi="Carlito"/>
          <w:b w:val="false"/>
          <w:i w:val="false"/>
          <w:caps w:val="false"/>
          <w:smallCaps w:val="false"/>
          <w:color w:val="0A0A0A"/>
          <w:spacing w:val="0"/>
          <w:sz w:val="24"/>
        </w:rPr>
        <w:t>At the 2025 AGM, the co-op agreed that Directorships and other committee roles would be voluntary, while operational roles are performed by employees. Currently, Isobel continues as Operations Manager, while SJ has taken on the Administrative Manager role. Paul remains our dedicated freelance cyclist, and we continue to hire a boater to assist with our monthly van runs to the processing facility.</w:t>
      </w:r>
    </w:p>
    <w:p>
      <w:pPr>
        <w:pStyle w:val="Normal"/>
        <w:widowControl/>
        <w:spacing w:lineRule="atLeast" w:line="420" w:before="0" w:after="360"/>
        <w:ind w:hanging="0" w:start="0" w:end="0"/>
        <w:rPr/>
      </w:pPr>
      <w:r>
        <w:rPr>
          <w:rStyle w:val="Strong"/>
          <w:rFonts w:ascii="Carlito" w:hAnsi="Carlito"/>
          <w:b/>
          <w:i w:val="false"/>
          <w:caps w:val="false"/>
          <w:smallCaps w:val="false"/>
          <w:color w:val="0A0A0A"/>
          <w:spacing w:val="0"/>
          <w:sz w:val="30"/>
        </w:rPr>
        <w:t>Finance</w:t>
      </w:r>
    </w:p>
    <w:p>
      <w:pPr>
        <w:pStyle w:val="Normal"/>
        <w:widowControl/>
        <w:spacing w:lineRule="atLeast" w:line="360" w:before="0" w:after="180"/>
        <w:ind w:hanging="0" w:start="0" w:end="0"/>
        <w:rPr>
          <w:rFonts w:ascii="Carlito" w:hAnsi="Carlito"/>
          <w:b w:val="false"/>
          <w:i w:val="false"/>
          <w:caps w:val="false"/>
          <w:smallCaps w:val="false"/>
          <w:color w:val="0A0A0A"/>
          <w:spacing w:val="0"/>
          <w:sz w:val="24"/>
        </w:rPr>
      </w:pPr>
      <w:r>
        <w:rPr>
          <w:rFonts w:ascii="Carlito" w:hAnsi="Carlito"/>
          <w:b w:val="false"/>
          <w:i w:val="false"/>
          <w:caps w:val="false"/>
          <w:smallCaps w:val="false"/>
          <w:color w:val="0A0A0A"/>
          <w:spacing w:val="0"/>
          <w:sz w:val="24"/>
        </w:rPr>
        <w:t>Our current bank balance is ahead of our initial forecasts. A comprehensive breakdown of our finances, including detailed figures and future projections, will be shared during the AGM.</w:t>
      </w:r>
    </w:p>
    <w:p>
      <w:pPr>
        <w:pStyle w:val="Normal"/>
        <w:widowControl/>
        <w:spacing w:lineRule="atLeast" w:line="420" w:before="0" w:after="360"/>
        <w:ind w:hanging="0" w:start="0" w:end="0"/>
        <w:rPr/>
      </w:pPr>
      <w:r>
        <w:rPr>
          <w:rStyle w:val="Strong"/>
          <w:rFonts w:ascii="Carlito" w:hAnsi="Carlito"/>
          <w:b/>
          <w:i w:val="false"/>
          <w:caps w:val="false"/>
          <w:smallCaps w:val="false"/>
          <w:color w:val="0A0A0A"/>
          <w:spacing w:val="0"/>
          <w:sz w:val="30"/>
        </w:rPr>
        <w:t>Drop</w:t>
      </w:r>
      <w:r>
        <w:rPr>
          <w:rStyle w:val="Strong"/>
          <w:rFonts w:ascii="Carlito" w:hAnsi="Carlito"/>
          <w:b/>
          <w:i w:val="false"/>
          <w:caps w:val="false"/>
          <w:smallCaps w:val="false"/>
          <w:color w:val="0A0A0A"/>
          <w:spacing w:val="0"/>
          <w:sz w:val="30"/>
          <w:u w:val="none"/>
        </w:rPr>
        <w:t>-Off Points Project</w:t>
      </w:r>
    </w:p>
    <w:p>
      <w:pPr>
        <w:pStyle w:val="Normal"/>
        <w:widowControl/>
        <w:spacing w:lineRule="atLeast" w:line="360" w:before="0" w:after="180"/>
        <w:ind w:hanging="0" w:start="0" w:end="0"/>
        <w:rPr>
          <w:rFonts w:ascii="Carlito" w:hAnsi="Carlito"/>
          <w:b w:val="false"/>
          <w:i w:val="false"/>
          <w:caps w:val="false"/>
          <w:smallCaps w:val="false"/>
          <w:color w:val="0A0A0A"/>
          <w:spacing w:val="0"/>
          <w:sz w:val="24"/>
          <w:u w:val="none"/>
        </w:rPr>
      </w:pPr>
      <w:r>
        <w:rPr>
          <w:rFonts w:ascii="Carlito" w:hAnsi="Carlito"/>
          <w:b w:val="false"/>
          <w:i w:val="false"/>
          <w:caps w:val="false"/>
          <w:smallCaps w:val="false"/>
          <w:color w:val="0A0A0A"/>
          <w:spacing w:val="0"/>
          <w:sz w:val="24"/>
          <w:u w:val="none"/>
        </w:rPr>
        <w:t>To better serve the itinerant boating community and increase accessibility, we launched a ‘Drop-Off/Collection Point’ service at Stanstead Abbotts in July 2025. This provides a more affordable alternative to our core subscription model. Our I.T. Manager, Gaetano, oversaw the integration of this service into our webshop.</w:t>
      </w:r>
    </w:p>
    <w:p>
      <w:pPr>
        <w:pStyle w:val="Normal"/>
        <w:widowControl/>
        <w:spacing w:lineRule="atLeast" w:line="360" w:before="0" w:after="180"/>
        <w:ind w:hanging="0" w:start="0" w:end="0"/>
        <w:rPr>
          <w:rFonts w:ascii="Carlito" w:hAnsi="Carlito"/>
          <w:b w:val="false"/>
          <w:i w:val="false"/>
          <w:caps w:val="false"/>
          <w:smallCaps w:val="false"/>
          <w:color w:val="0A0A0A"/>
          <w:spacing w:val="0"/>
          <w:sz w:val="24"/>
          <w:u w:val="none"/>
        </w:rPr>
      </w:pPr>
      <w:r>
        <w:rPr>
          <w:rFonts w:ascii="Carlito" w:hAnsi="Carlito"/>
          <w:b w:val="false"/>
          <w:i w:val="false"/>
          <w:caps w:val="false"/>
          <w:smallCaps w:val="false"/>
          <w:color w:val="0A0A0A"/>
          <w:spacing w:val="0"/>
          <w:sz w:val="24"/>
          <w:u w:val="none"/>
        </w:rPr>
        <w:t>In the eight  months since launch, we have processed (a grand total of!) 22 orders (most for multiple caddies). The £702.87  in revenue generated has successfully covered our operational costs, specifically van driving, caddy cleaning, and associated labour.</w:t>
      </w:r>
    </w:p>
    <w:p>
      <w:pPr>
        <w:pStyle w:val="Normal"/>
        <w:widowControl/>
        <w:spacing w:lineRule="atLeast" w:line="420" w:before="0" w:after="360"/>
        <w:ind w:hanging="0" w:start="0" w:end="0"/>
        <w:rPr/>
      </w:pPr>
      <w:r>
        <w:rPr>
          <w:rStyle w:val="Strong"/>
          <w:rFonts w:ascii="Carlito" w:hAnsi="Carlito"/>
          <w:caps w:val="false"/>
          <w:smallCaps w:val="false"/>
          <w:color w:val="0A0A0A"/>
          <w:spacing w:val="0"/>
          <w:u w:val="none"/>
        </w:rPr>
        <w:t>‘</w:t>
      </w:r>
      <w:r>
        <w:rPr>
          <w:rStyle w:val="Strong"/>
          <w:rFonts w:ascii="Carlito" w:hAnsi="Carlito"/>
          <w:b/>
          <w:i w:val="false"/>
          <w:caps w:val="false"/>
          <w:smallCaps w:val="false"/>
          <w:color w:val="0A0A0A"/>
          <w:spacing w:val="0"/>
          <w:sz w:val="30"/>
          <w:u w:val="none"/>
        </w:rPr>
        <w:t>Our Own Site!’ Project</w:t>
      </w:r>
    </w:p>
    <w:p>
      <w:pPr>
        <w:pStyle w:val="Normal"/>
        <w:widowControl/>
        <w:spacing w:lineRule="atLeast" w:line="360" w:before="0" w:after="180"/>
        <w:ind w:hanging="0" w:start="0" w:end="0"/>
        <w:rPr>
          <w:rFonts w:ascii="Carlito" w:hAnsi="Carlito"/>
          <w:b w:val="false"/>
          <w:i w:val="false"/>
          <w:caps w:val="false"/>
          <w:smallCaps w:val="false"/>
          <w:color w:val="0A0A0A"/>
          <w:spacing w:val="0"/>
          <w:sz w:val="24"/>
          <w:u w:val="none"/>
        </w:rPr>
      </w:pPr>
      <w:r>
        <w:rPr>
          <w:rFonts w:ascii="Carlito" w:hAnsi="Carlito"/>
          <w:b w:val="false"/>
          <w:i w:val="false"/>
          <w:caps w:val="false"/>
          <w:smallCaps w:val="false"/>
          <w:color w:val="0A0A0A"/>
          <w:spacing w:val="0"/>
          <w:sz w:val="24"/>
          <w:u w:val="none"/>
        </w:rPr>
        <w:t>Our long-term goal is to process the collected material ourselves. This would allow us to produce a high-value environmental end-product while creating community-oriented opportunities.</w:t>
      </w:r>
    </w:p>
    <w:p>
      <w:pPr>
        <w:pStyle w:val="Normal"/>
        <w:widowControl/>
        <w:spacing w:lineRule="atLeast" w:line="360" w:before="0" w:after="180"/>
        <w:ind w:hanging="0" w:start="0" w:end="0"/>
        <w:rPr>
          <w:rFonts w:ascii="Carlito" w:hAnsi="Carlito"/>
          <w:b w:val="false"/>
          <w:i w:val="false"/>
          <w:caps w:val="false"/>
          <w:smallCaps w:val="false"/>
          <w:color w:val="0A0A0A"/>
          <w:spacing w:val="0"/>
          <w:sz w:val="24"/>
          <w:u w:val="none"/>
        </w:rPr>
      </w:pPr>
      <w:r>
        <w:rPr>
          <w:rFonts w:ascii="Carlito" w:hAnsi="Carlito"/>
          <w:b w:val="false"/>
          <w:i w:val="false"/>
          <w:caps w:val="false"/>
          <w:smallCaps w:val="false"/>
          <w:color w:val="0A0A0A"/>
          <w:spacing w:val="0"/>
          <w:sz w:val="24"/>
          <w:u w:val="none"/>
        </w:rPr>
        <w:t>Currently, our premises limit our ability to treat dry material on-site. Instead, we transport collected material every six weeks to a composting facility where it is processed for soil regeneration on brownfield sites. We are also reaching maximum operational capacity at our current location.</w:t>
      </w:r>
    </w:p>
    <w:p>
      <w:pPr>
        <w:pStyle w:val="Normal"/>
        <w:widowControl/>
        <w:spacing w:lineRule="atLeast" w:line="360" w:before="0" w:after="180"/>
        <w:ind w:hanging="0" w:start="0" w:end="0"/>
        <w:rPr/>
      </w:pPr>
      <w:r>
        <w:rPr>
          <w:rStyle w:val="Strong"/>
          <w:rFonts w:ascii="Carlito" w:hAnsi="Carlito"/>
          <w:b/>
          <w:i w:val="false"/>
          <w:caps w:val="false"/>
          <w:smallCaps w:val="false"/>
          <w:color w:val="0A0A0A"/>
          <w:spacing w:val="0"/>
          <w:sz w:val="24"/>
          <w:u w:val="none"/>
        </w:rPr>
        <w:t>Site Updates:</w:t>
      </w:r>
    </w:p>
    <w:p>
      <w:pPr>
        <w:pStyle w:val="BodyText"/>
        <w:widowControl/>
        <w:numPr>
          <w:ilvl w:val="0"/>
          <w:numId w:val="1"/>
        </w:numPr>
        <w:tabs>
          <w:tab w:val="clear" w:pos="720"/>
          <w:tab w:val="left" w:pos="0" w:leader="none"/>
        </w:tabs>
        <w:spacing w:lineRule="atLeast" w:line="360" w:before="0" w:after="180"/>
        <w:ind w:hanging="0" w:start="0" w:end="0"/>
        <w:rPr>
          <w:rFonts w:ascii="DejaVu Sans" w:hAnsi="DejaVu Sans"/>
          <w:b/>
          <w:bCs/>
          <w:u w:val="single"/>
        </w:rPr>
      </w:pPr>
      <w:r>
        <w:rPr>
          <w:rStyle w:val="Strong"/>
          <w:rFonts w:ascii="Carlito" w:hAnsi="Carlito"/>
          <w:b/>
          <w:i w:val="false"/>
          <w:caps w:val="false"/>
          <w:smallCaps w:val="false"/>
          <w:color w:val="0A0A0A"/>
          <w:spacing w:val="0"/>
          <w:sz w:val="24"/>
          <w:u w:val="none"/>
        </w:rPr>
        <w:t>2 Wick Lane:</w:t>
      </w:r>
      <w:r>
        <w:rPr>
          <w:rStyle w:val="Strong"/>
          <w:rFonts w:ascii="Carlito" w:hAnsi="Carlito"/>
          <w:b w:val="false"/>
          <w:i w:val="false"/>
          <w:iCs w:val="false"/>
          <w:caps w:val="false"/>
          <w:smallCaps w:val="false"/>
          <w:strike w:val="false"/>
          <w:dstrike w:val="false"/>
          <w:color w:val="000000"/>
          <w:spacing w:val="0"/>
          <w:sz w:val="24"/>
          <w:u w:val="none"/>
          <w:effect w:val="none"/>
          <w:shd w:fill="auto" w:val="clear"/>
        </w:rPr>
        <w:t xml:space="preserve"> </w:t>
      </w:r>
      <w:r>
        <w:rPr>
          <w:rFonts w:eastAsia="Aptos" w:cs="Aptos" w:ascii="Carlito" w:hAnsi="Carlito"/>
          <w:b w:val="false"/>
          <w:bCs/>
          <w:i w:val="false"/>
          <w:caps w:val="false"/>
          <w:smallCaps w:val="false"/>
          <w:color w:val="0A0A0A"/>
          <w:spacing w:val="0"/>
          <w:sz w:val="24"/>
          <w:szCs w:val="24"/>
          <w:u w:val="none"/>
          <w:lang w:val="en-GB"/>
        </w:rPr>
        <w:t>Those may remember that in 2024 we were working toward leasing a site at 2 Wick Lane. This CRT owned site remains squatted and has now been discounted as a viable option for our operational needs.</w:t>
      </w:r>
    </w:p>
    <w:p>
      <w:pPr>
        <w:pStyle w:val="BodyText"/>
        <w:widowControl/>
        <w:numPr>
          <w:ilvl w:val="0"/>
          <w:numId w:val="1"/>
        </w:numPr>
        <w:tabs>
          <w:tab w:val="clear" w:pos="720"/>
          <w:tab w:val="left" w:pos="0" w:leader="none"/>
        </w:tabs>
        <w:spacing w:lineRule="atLeast" w:line="360" w:before="0" w:after="180"/>
        <w:ind w:hanging="0" w:start="0" w:end="0"/>
        <w:rPr>
          <w:rFonts w:ascii="DejaVu Sans" w:hAnsi="DejaVu Sans"/>
          <w:b/>
          <w:bCs/>
          <w:u w:val="single"/>
        </w:rPr>
      </w:pPr>
      <w:r>
        <w:rPr>
          <w:rStyle w:val="Strong"/>
          <w:rFonts w:ascii="Carlito" w:hAnsi="Carlito"/>
          <w:b/>
          <w:i w:val="false"/>
          <w:caps w:val="false"/>
          <w:smallCaps w:val="false"/>
          <w:color w:val="0A0A0A"/>
          <w:spacing w:val="0"/>
          <w:sz w:val="24"/>
          <w:u w:val="none"/>
        </w:rPr>
        <w:t xml:space="preserve">CRT CFS Sites : </w:t>
      </w:r>
      <w:r>
        <w:rPr>
          <w:rStyle w:val="Strong"/>
          <w:rFonts w:eastAsia="Aptos" w:cs="Aptos" w:ascii="Carlito" w:hAnsi="Carlito"/>
          <w:b w:val="false"/>
          <w:bCs w:val="false"/>
          <w:i w:val="false"/>
          <w:caps w:val="false"/>
          <w:smallCaps w:val="false"/>
          <w:color w:val="0A0A0A"/>
          <w:spacing w:val="0"/>
          <w:sz w:val="24"/>
          <w:szCs w:val="24"/>
          <w:u w:val="none"/>
          <w:lang w:val="en-GB"/>
        </w:rPr>
        <w:t>In early 2025 we proposed to CRT</w:t>
      </w:r>
      <w:r>
        <w:rPr>
          <w:rStyle w:val="Strong"/>
          <w:rFonts w:eastAsia="Aptos" w:cs="Aptos" w:ascii="Carlito" w:hAnsi="Carlito"/>
          <w:b w:val="false"/>
          <w:i w:val="false"/>
          <w:caps w:val="false"/>
          <w:smallCaps w:val="false"/>
          <w:strike w:val="false"/>
          <w:dstrike w:val="false"/>
          <w:color w:val="000000"/>
          <w:spacing w:val="0"/>
          <w:sz w:val="24"/>
          <w:szCs w:val="24"/>
          <w:u w:val="none"/>
          <w:effect w:val="none"/>
          <w:shd w:fill="auto" w:val="clear"/>
          <w:lang w:val="en-GB"/>
        </w:rPr>
        <w:t xml:space="preserve"> that we </w:t>
      </w:r>
      <w:r>
        <w:rPr>
          <w:rStyle w:val="Strong"/>
          <w:rFonts w:ascii="Carlito" w:hAnsi="Carlito"/>
          <w:b w:val="false"/>
          <w:bCs w:val="false"/>
          <w:i w:val="false"/>
          <w:caps w:val="false"/>
          <w:smallCaps w:val="false"/>
          <w:strike w:val="false"/>
          <w:dstrike w:val="false"/>
          <w:color w:val="000000"/>
          <w:spacing w:val="0"/>
          <w:sz w:val="24"/>
          <w:u w:val="none"/>
          <w:effect w:val="none"/>
          <w:shd w:fill="auto" w:val="clear"/>
        </w:rPr>
        <w:t xml:space="preserve">could take over the management of the Old Ford Lock (River Lea) CFS site. Combining our flagship composting initiative with the operation of boater amenities would offer the Boating community an opportunity to have a say and a hand in the running of their own amenities. With a ‘we scratch CRT’s back, they scratch ours’ strategy, use such a site would also provide vital space to support/expand our operations and perhaps work toward piloting a small composting treatment facility. </w:t>
      </w:r>
    </w:p>
    <w:p>
      <w:pPr>
        <w:pStyle w:val="Normal"/>
        <w:numPr>
          <w:ilvl w:val="0"/>
          <w:numId w:val="0"/>
        </w:numPr>
        <w:ind w:hanging="0" w:start="0"/>
        <w:rPr>
          <w:rFonts w:ascii="Carlito" w:hAnsi="Carlito"/>
        </w:rPr>
      </w:pPr>
      <w:r>
        <w:rPr>
          <w:rFonts w:ascii="Carlito" w:hAnsi="Carlito"/>
          <w:b w:val="false"/>
          <w:bCs w:val="false"/>
          <w:i w:val="false"/>
          <w:caps w:val="false"/>
          <w:smallCaps w:val="false"/>
          <w:strike w:val="false"/>
          <w:dstrike w:val="false"/>
          <w:color w:val="000000"/>
          <w:sz w:val="24"/>
          <w:u w:val="none"/>
          <w:effect w:val="none"/>
          <w:shd w:fill="auto" w:val="clear"/>
        </w:rPr>
        <w:t xml:space="preserve">Following CRT announcing the closure of all their toilets and showers across their CFS sites, they launched an EOI application process for indivduals and organsations to take over the management of these facilities. </w:t>
      </w:r>
    </w:p>
    <w:p>
      <w:pPr>
        <w:pStyle w:val="Normal"/>
        <w:numPr>
          <w:ilvl w:val="0"/>
          <w:numId w:val="0"/>
        </w:numPr>
        <w:ind w:hanging="0" w:start="0"/>
        <w:rPr>
          <w:rFonts w:ascii="Carlito" w:hAnsi="Carlito"/>
        </w:rPr>
      </w:pPr>
      <w:r>
        <w:rPr>
          <w:rFonts w:ascii="Carlito" w:hAnsi="Carlito"/>
          <w:b w:val="false"/>
          <w:bCs w:val="false"/>
          <w:i w:val="false"/>
          <w:caps w:val="false"/>
          <w:smallCaps w:val="false"/>
          <w:strike w:val="false"/>
          <w:dstrike w:val="false"/>
          <w:color w:val="000000"/>
          <w:sz w:val="24"/>
          <w:u w:val="none"/>
          <w:effect w:val="none"/>
          <w:shd w:fill="auto" w:val="clear"/>
        </w:rPr>
        <w:t>We applied, explaining that we would be interested in managing the loos if we could also have use of some of the sites for our own purposes. We were initially told we could have such use of the Old Ford Lock (River Lea), Old Ford Lock (Regents), LV and Stonebridge. However, upon further conversations with CRT, it was explained that the regional teams in fact wanted to keep full use of all sites, except LV. We also did some research and found that the cost of adhering to the regulations of public amenities may not be financially viable for us.</w:t>
      </w:r>
    </w:p>
    <w:p>
      <w:pPr>
        <w:pStyle w:val="Normal"/>
        <w:numPr>
          <w:ilvl w:val="0"/>
          <w:numId w:val="0"/>
        </w:numPr>
        <w:ind w:hanging="0" w:start="0"/>
        <w:rPr>
          <w:rFonts w:ascii="Carlito" w:hAnsi="Carlito"/>
          <w:b w:val="false"/>
          <w:bCs w:val="false"/>
          <w:i w:val="false"/>
          <w:caps w:val="false"/>
          <w:smallCaps w:val="false"/>
          <w:strike w:val="false"/>
          <w:dstrike w:val="false"/>
          <w:color w:val="000000"/>
          <w:sz w:val="24"/>
          <w:u w:val="none"/>
          <w:effect w:val="none"/>
          <w:shd w:fill="auto" w:val="clear"/>
        </w:rPr>
      </w:pPr>
      <w:r>
        <w:rPr>
          <w:rFonts w:ascii="Carlito" w:hAnsi="Carlito"/>
          <w:b w:val="false"/>
          <w:bCs w:val="false"/>
          <w:i w:val="false"/>
          <w:caps w:val="false"/>
          <w:smallCaps w:val="false"/>
          <w:strike w:val="false"/>
          <w:dstrike w:val="false"/>
          <w:color w:val="000000"/>
          <w:sz w:val="24"/>
          <w:u w:val="none"/>
          <w:effect w:val="none"/>
          <w:shd w:fill="auto" w:val="clear"/>
        </w:rPr>
        <w:t>However, a site visit was arranged with CRT and Isobel across all the aforementioned sites and the conversation became about whether we could still have use of some of the redundant space across these sites (focussing initially on Old Ford Lock, Regents Canal). CRT seemed very supportive (again) of our project and agreed to propose to their colleagues us having use of some identified spaces, without taking on responsiblity for the facility themselves.</w:t>
      </w:r>
    </w:p>
    <w:p>
      <w:pPr>
        <w:pStyle w:val="Normal"/>
        <w:numPr>
          <w:ilvl w:val="0"/>
          <w:numId w:val="0"/>
        </w:numPr>
        <w:ind w:hanging="0" w:start="0"/>
        <w:rPr>
          <w:rFonts w:ascii="Carlito" w:hAnsi="Carlito"/>
          <w:b w:val="false"/>
          <w:bCs w:val="false"/>
          <w:i w:val="false"/>
          <w:caps w:val="false"/>
          <w:smallCaps w:val="false"/>
          <w:strike w:val="false"/>
          <w:dstrike w:val="false"/>
          <w:color w:val="000000"/>
          <w:sz w:val="24"/>
          <w:u w:val="none"/>
          <w:effect w:val="none"/>
          <w:shd w:fill="auto" w:val="clear"/>
        </w:rPr>
      </w:pPr>
      <w:r>
        <w:rPr>
          <w:rFonts w:ascii="Carlito" w:hAnsi="Carlito"/>
          <w:b w:val="false"/>
          <w:bCs w:val="false"/>
          <w:i w:val="false"/>
          <w:caps w:val="false"/>
          <w:smallCaps w:val="false"/>
          <w:strike w:val="false"/>
          <w:dstrike w:val="false"/>
          <w:color w:val="000000"/>
          <w:sz w:val="24"/>
          <w:u w:val="none"/>
          <w:effect w:val="none"/>
          <w:shd w:fill="auto" w:val="clear"/>
        </w:rPr>
        <w:t>The Committee Board members agreed that having use of a small plot on just one site could work as a drop off point or storage for our operations, and that having even a small presence at one of these sites could lead to bigger opportunities (ie. composting, working with the community to run the facilities).</w:t>
      </w:r>
    </w:p>
    <w:p>
      <w:pPr>
        <w:pStyle w:val="Normal"/>
        <w:numPr>
          <w:ilvl w:val="0"/>
          <w:numId w:val="0"/>
        </w:numPr>
        <w:ind w:hanging="0" w:start="0"/>
        <w:rPr>
          <w:rFonts w:ascii="Carlito" w:hAnsi="Carlito"/>
        </w:rPr>
      </w:pPr>
      <w:r>
        <w:rPr>
          <w:rFonts w:ascii="Carlito" w:hAnsi="Carlito"/>
          <w:b w:val="false"/>
          <w:bCs w:val="false"/>
          <w:i w:val="false"/>
          <w:caps w:val="false"/>
          <w:smallCaps w:val="false"/>
          <w:strike w:val="false"/>
          <w:dstrike w:val="false"/>
          <w:color w:val="000000"/>
          <w:sz w:val="24"/>
          <w:u w:val="none"/>
          <w:effect w:val="none"/>
          <w:shd w:fill="auto" w:val="clear"/>
        </w:rPr>
        <w:t>However, we have not had contact with CRT following this site visit in January 2026.</w:t>
      </w:r>
    </w:p>
    <w:p>
      <w:pPr>
        <w:pStyle w:val="Normal"/>
        <w:numPr>
          <w:ilvl w:val="0"/>
          <w:numId w:val="0"/>
        </w:numPr>
        <w:ind w:hanging="0" w:start="0"/>
        <w:rPr>
          <w:rFonts w:ascii="Carlito" w:hAnsi="Carlito"/>
        </w:rPr>
      </w:pPr>
      <w:r>
        <w:rPr>
          <w:rFonts w:ascii="Carlito" w:hAnsi="Carlito"/>
          <w:b w:val="false"/>
          <w:bCs w:val="false"/>
          <w:i w:val="false"/>
          <w:caps w:val="false"/>
          <w:smallCaps w:val="false"/>
          <w:strike w:val="false"/>
          <w:dstrike w:val="false"/>
          <w:color w:val="000000"/>
          <w:sz w:val="24"/>
          <w:u w:val="none"/>
          <w:effect w:val="none"/>
          <w:shd w:fill="auto" w:val="clear"/>
        </w:rPr>
        <w:t xml:space="preserve">Recent conversations have begun with </w:t>
      </w:r>
      <w:r>
        <w:rPr>
          <w:rFonts w:ascii="Carlito" w:hAnsi="Carlito"/>
          <w:b/>
          <w:bCs/>
          <w:i w:val="false"/>
          <w:caps w:val="false"/>
          <w:smallCaps w:val="false"/>
          <w:strike w:val="false"/>
          <w:dstrike w:val="false"/>
          <w:color w:val="000000"/>
          <w:sz w:val="24"/>
          <w:u w:val="none"/>
          <w:effect w:val="none"/>
          <w:shd w:fill="auto" w:val="clear"/>
        </w:rPr>
        <w:t xml:space="preserve">Tom of Old Tree Soil </w:t>
      </w:r>
      <w:r>
        <w:rPr>
          <w:rFonts w:ascii="Carlito" w:hAnsi="Carlito"/>
          <w:b w:val="false"/>
          <w:bCs w:val="false"/>
          <w:i w:val="false"/>
          <w:caps w:val="false"/>
          <w:smallCaps w:val="false"/>
          <w:strike w:val="false"/>
          <w:dstrike w:val="false"/>
          <w:color w:val="000000"/>
          <w:sz w:val="24"/>
          <w:u w:val="none"/>
          <w:effect w:val="none"/>
          <w:shd w:fill="auto" w:val="clear"/>
        </w:rPr>
        <w:t>regarding partnering with a view to processing our ‘black gold’ on one of his composting sites. These conversations remain very much in the early stages… but an exciting prospect!</w:t>
      </w:r>
    </w:p>
    <w:p>
      <w:pPr>
        <w:pStyle w:val="BodyText"/>
        <w:widowControl/>
        <w:spacing w:lineRule="atLeast" w:line="420" w:before="0" w:after="360"/>
        <w:ind w:hanging="0" w:start="0" w:end="0"/>
        <w:rPr>
          <w:rFonts w:ascii="DejaVu Sans" w:hAnsi="DejaVu Sans"/>
          <w:b/>
          <w:bCs/>
          <w:u w:val="single"/>
        </w:rPr>
      </w:pPr>
      <w:r>
        <w:rPr>
          <w:rStyle w:val="Strong"/>
          <w:rFonts w:ascii="Carlito" w:hAnsi="Carlito"/>
          <w:b/>
          <w:i w:val="false"/>
          <w:caps w:val="false"/>
          <w:smallCaps w:val="false"/>
          <w:color w:val="0A0A0A"/>
          <w:spacing w:val="0"/>
          <w:sz w:val="30"/>
          <w:u w:val="none"/>
        </w:rPr>
        <w:t>Operations &amp; Volunteer Scheme</w:t>
      </w:r>
    </w:p>
    <w:p>
      <w:pPr>
        <w:pStyle w:val="BodyText"/>
        <w:widowControl/>
        <w:spacing w:lineRule="atLeast" w:line="360" w:before="0" w:after="180"/>
        <w:ind w:hanging="0" w:start="0" w:end="0"/>
        <w:rPr>
          <w:rFonts w:ascii="Carlito" w:hAnsi="Carlito"/>
          <w:b w:val="false"/>
          <w:bCs/>
          <w:i w:val="false"/>
          <w:caps w:val="false"/>
          <w:smallCaps w:val="false"/>
          <w:color w:val="0A0A0A"/>
          <w:spacing w:val="0"/>
          <w:sz w:val="24"/>
          <w:u w:val="none"/>
        </w:rPr>
      </w:pPr>
      <w:r>
        <w:rPr>
          <w:rFonts w:ascii="Carlito" w:hAnsi="Carlito"/>
          <w:b w:val="false"/>
          <w:bCs/>
          <w:i w:val="false"/>
          <w:caps w:val="false"/>
          <w:smallCaps w:val="false"/>
          <w:color w:val="0A0A0A"/>
          <w:spacing w:val="0"/>
          <w:sz w:val="24"/>
          <w:u w:val="none"/>
        </w:rPr>
        <w:t>Our volunteer scheme is thriving with nine active participants. This allows us to maintain a three-day fortnightly collection schedule and enables 11 people to access our service via time-credits rather than payment.</w:t>
      </w:r>
    </w:p>
    <w:p>
      <w:pPr>
        <w:pStyle w:val="BodyText"/>
        <w:widowControl/>
        <w:spacing w:lineRule="atLeast" w:line="360" w:before="0" w:after="180"/>
        <w:ind w:hanging="0" w:start="0" w:end="0"/>
        <w:rPr>
          <w:rFonts w:ascii="DejaVu Sans" w:hAnsi="DejaVu Sans"/>
          <w:b/>
          <w:bCs/>
          <w:u w:val="single"/>
        </w:rPr>
      </w:pPr>
      <w:r>
        <w:rPr>
          <w:rFonts w:ascii="Carlito" w:hAnsi="Carlito"/>
          <w:b w:val="false"/>
          <w:bCs/>
          <w:i w:val="false"/>
          <w:caps w:val="false"/>
          <w:smallCaps w:val="false"/>
          <w:color w:val="0A0A0A"/>
          <w:spacing w:val="0"/>
          <w:sz w:val="24"/>
          <w:u w:val="none"/>
        </w:rPr>
        <w:t>As of March 2026, we have </w:t>
      </w:r>
      <w:r>
        <w:rPr>
          <w:rStyle w:val="Strong"/>
          <w:rFonts w:ascii="Carlito" w:hAnsi="Carlito"/>
          <w:b/>
          <w:i w:val="false"/>
          <w:caps w:val="false"/>
          <w:smallCaps w:val="false"/>
          <w:color w:val="0A0A0A"/>
          <w:spacing w:val="0"/>
          <w:sz w:val="24"/>
          <w:u w:val="none"/>
        </w:rPr>
        <w:t>121 active subscribers</w:t>
      </w:r>
      <w:r>
        <w:rPr>
          <w:rFonts w:ascii="Carlito" w:hAnsi="Carlito"/>
          <w:b w:val="false"/>
          <w:bCs/>
          <w:i w:val="false"/>
          <w:caps w:val="false"/>
          <w:smallCaps w:val="false"/>
          <w:color w:val="0A0A0A"/>
          <w:spacing w:val="0"/>
          <w:sz w:val="24"/>
          <w:u w:val="none"/>
        </w:rPr>
        <w:t>, an increase of approximately 15 customers compared to March 2025. Paul remains our primary collection rider, collecting roughly 70 caddies every fortnight—a true legend!</w:t>
      </w:r>
    </w:p>
    <w:p>
      <w:pPr>
        <w:pStyle w:val="BodyText"/>
        <w:widowControl/>
        <w:spacing w:lineRule="atLeast" w:line="360" w:before="0" w:after="180"/>
        <w:ind w:hanging="0" w:start="0" w:end="0"/>
        <w:rPr>
          <w:rFonts w:ascii="Carlito" w:hAnsi="Carlito"/>
        </w:rPr>
      </w:pPr>
      <w:r>
        <w:rPr>
          <w:rFonts w:ascii="Carlito" w:hAnsi="Carlito"/>
          <w:b w:val="false"/>
          <w:bCs/>
          <w:i w:val="false"/>
          <w:caps w:val="false"/>
          <w:smallCaps w:val="false"/>
          <w:color w:val="0A0A0A"/>
          <w:spacing w:val="0"/>
          <w:sz w:val="24"/>
          <w:u w:val="none"/>
        </w:rPr>
        <w:t>As we reach the limits of our current site, we will need to consider the financial and logistical costs of adding an extra collection day to meet demand.</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40" w:right="1440" w:gutter="0" w:header="72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Aptos">
    <w:charset w:val="01" w:characterSet="utf-8"/>
    <w:family w:val="roman"/>
    <w:pitch w:val="variable"/>
  </w:font>
  <w:font w:name="Aptos Display">
    <w:charset w:val="01" w:characterSet="utf-8"/>
    <w:family w:val="roman"/>
    <w:pitch w:val="variable"/>
  </w:font>
  <w:font w:name="OpenSymbol">
    <w:altName w:val="Arial Unicode MS"/>
    <w:charset w:val="01" w:characterSet="utf-8"/>
    <w:family w:val="roman"/>
    <w:pitch w:val="variable"/>
  </w:font>
  <w:font w:name="DejaVu Sans">
    <w:charset w:val="01" w:characterSet="utf-8"/>
    <w:family w:val="swiss"/>
    <w:pitch w:val="variable"/>
  </w:font>
  <w:font w:name="Calibri">
    <w:charset w:val="01" w:characterSet="utf-8"/>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Normal"/>
      <w:tblW w:w="9015" w:type="dxa"/>
      <w:jc w:val="start"/>
      <w:tblInd w:w="0" w:type="dxa"/>
      <w:tblLayout w:type="fixed"/>
      <w:tblCellMar>
        <w:top w:w="0" w:type="dxa"/>
        <w:start w:w="108" w:type="dxa"/>
        <w:bottom w:w="0" w:type="dxa"/>
        <w:end w:w="108" w:type="dxa"/>
      </w:tblCellMar>
      <w:tblLook w:val="06a0" w:noHBand="1" w:noVBand="1" w:firstColumn="1" w:lastRow="0" w:lastColumn="0" w:firstRow="1"/>
    </w:tblPr>
    <w:tblGrid>
      <w:gridCol w:w="3005"/>
      <w:gridCol w:w="3005"/>
      <w:gridCol w:w="3005"/>
    </w:tblGrid>
    <w:tr>
      <w:trPr>
        <w:trHeight w:val="300" w:hRule="atLeast"/>
      </w:trPr>
      <w:tc>
        <w:tcPr>
          <w:tcW w:w="3005" w:type="dxa"/>
          <w:tcBorders/>
        </w:tcPr>
        <w:p>
          <w:pPr>
            <w:pStyle w:val="Header"/>
            <w:widowControl/>
            <w:suppressAutoHyphens w:val="true"/>
            <w:bidi w:val="0"/>
            <w:spacing w:before="0" w:after="0"/>
            <w:ind w:start="-115"/>
            <w:jc w:val="start"/>
            <w:rPr>
              <w:rFonts w:ascii="Aptos" w:hAnsi="Aptos" w:eastAsia="" w:cs=""/>
              <w:kern w:val="0"/>
              <w:sz w:val="24"/>
              <w:szCs w:val="24"/>
              <w:lang w:val="en-GB" w:eastAsia="ja-JP" w:bidi="ar-SA"/>
            </w:rPr>
          </w:pPr>
          <w:r>
            <w:rPr>
              <w:rFonts w:eastAsia="" w:cs=""/>
              <w:kern w:val="0"/>
              <w:sz w:val="24"/>
              <w:szCs w:val="24"/>
              <w:lang w:val="en-GB" w:eastAsia="ja-JP" w:bidi="ar-SA"/>
            </w:rPr>
          </w:r>
        </w:p>
      </w:tc>
      <w:tc>
        <w:tcPr>
          <w:tcW w:w="3005" w:type="dxa"/>
          <w:tcBorders/>
        </w:tcPr>
        <w:p>
          <w:pPr>
            <w:pStyle w:val="Header"/>
            <w:widowControl/>
            <w:suppressAutoHyphens w:val="true"/>
            <w:bidi w:val="0"/>
            <w:spacing w:before="0" w:after="0"/>
            <w:jc w:val="center"/>
            <w:rPr>
              <w:rFonts w:ascii="Aptos" w:hAnsi="Aptos" w:eastAsia="" w:cs=""/>
              <w:kern w:val="0"/>
              <w:sz w:val="24"/>
              <w:szCs w:val="24"/>
              <w:lang w:val="en-GB" w:eastAsia="ja-JP" w:bidi="ar-SA"/>
            </w:rPr>
          </w:pPr>
          <w:r>
            <w:rPr>
              <w:rFonts w:eastAsia="" w:cs=""/>
              <w:kern w:val="0"/>
              <w:sz w:val="24"/>
              <w:szCs w:val="24"/>
              <w:lang w:val="en-GB" w:eastAsia="ja-JP" w:bidi="ar-SA"/>
            </w:rPr>
          </w:r>
        </w:p>
      </w:tc>
      <w:tc>
        <w:tcPr>
          <w:tcW w:w="3005" w:type="dxa"/>
          <w:tcBorders/>
        </w:tcPr>
        <w:p>
          <w:pPr>
            <w:pStyle w:val="Header"/>
            <w:widowControl/>
            <w:suppressAutoHyphens w:val="true"/>
            <w:bidi w:val="0"/>
            <w:spacing w:before="0" w:after="0"/>
            <w:ind w:end="-115"/>
            <w:jc w:val="end"/>
            <w:rPr>
              <w:rFonts w:ascii="Aptos" w:hAnsi="Aptos" w:eastAsia="" w:cs=""/>
              <w:kern w:val="0"/>
              <w:sz w:val="24"/>
              <w:szCs w:val="24"/>
              <w:lang w:val="en-GB" w:eastAsia="ja-JP" w:bidi="ar-SA"/>
            </w:rPr>
          </w:pPr>
          <w:r>
            <w:rPr>
              <w:rFonts w:eastAsia="" w:cs=""/>
              <w:kern w:val="0"/>
              <w:sz w:val="24"/>
              <w:szCs w:val="24"/>
              <w:lang w:val="en-GB" w:eastAsia="ja-JP" w:bidi="ar-SA"/>
            </w:rPr>
          </w:r>
        </w:p>
      </w:tc>
    </w:tr>
  </w:tbl>
  <w:p>
    <w:pPr>
      <w:pStyle w:val="Footer"/>
      <w:bidi w:val="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Normal"/>
      <w:tblW w:w="9015" w:type="dxa"/>
      <w:jc w:val="start"/>
      <w:tblInd w:w="0" w:type="dxa"/>
      <w:tblLayout w:type="fixed"/>
      <w:tblCellMar>
        <w:top w:w="0" w:type="dxa"/>
        <w:start w:w="108" w:type="dxa"/>
        <w:bottom w:w="0" w:type="dxa"/>
        <w:end w:w="108" w:type="dxa"/>
      </w:tblCellMar>
      <w:tblLook w:val="06a0" w:noHBand="1" w:noVBand="1" w:firstColumn="1" w:lastRow="0" w:lastColumn="0" w:firstRow="1"/>
    </w:tblPr>
    <w:tblGrid>
      <w:gridCol w:w="3005"/>
      <w:gridCol w:w="3005"/>
      <w:gridCol w:w="3005"/>
    </w:tblGrid>
    <w:tr>
      <w:trPr>
        <w:trHeight w:val="300" w:hRule="atLeast"/>
      </w:trPr>
      <w:tc>
        <w:tcPr>
          <w:tcW w:w="3005" w:type="dxa"/>
          <w:tcBorders/>
        </w:tcPr>
        <w:p>
          <w:pPr>
            <w:pStyle w:val="Header"/>
            <w:widowControl/>
            <w:suppressAutoHyphens w:val="true"/>
            <w:bidi w:val="0"/>
            <w:spacing w:before="0" w:after="0"/>
            <w:ind w:start="-115"/>
            <w:jc w:val="start"/>
            <w:rPr>
              <w:rFonts w:ascii="Aptos" w:hAnsi="Aptos" w:eastAsia="" w:cs=""/>
              <w:kern w:val="0"/>
              <w:sz w:val="24"/>
              <w:szCs w:val="24"/>
              <w:lang w:val="en-GB" w:eastAsia="ja-JP" w:bidi="ar-SA"/>
            </w:rPr>
          </w:pPr>
          <w:r>
            <w:rPr>
              <w:rFonts w:eastAsia="" w:cs=""/>
              <w:kern w:val="0"/>
              <w:sz w:val="24"/>
              <w:szCs w:val="24"/>
              <w:lang w:val="en-GB" w:eastAsia="ja-JP" w:bidi="ar-SA"/>
            </w:rPr>
          </w:r>
        </w:p>
      </w:tc>
      <w:tc>
        <w:tcPr>
          <w:tcW w:w="3005" w:type="dxa"/>
          <w:tcBorders/>
        </w:tcPr>
        <w:p>
          <w:pPr>
            <w:pStyle w:val="Header"/>
            <w:widowControl/>
            <w:suppressAutoHyphens w:val="true"/>
            <w:bidi w:val="0"/>
            <w:spacing w:before="0" w:after="0"/>
            <w:jc w:val="center"/>
            <w:rPr>
              <w:rFonts w:ascii="Aptos" w:hAnsi="Aptos" w:eastAsia="" w:cs=""/>
              <w:kern w:val="0"/>
              <w:sz w:val="24"/>
              <w:szCs w:val="24"/>
              <w:lang w:val="en-GB" w:eastAsia="ja-JP" w:bidi="ar-SA"/>
            </w:rPr>
          </w:pPr>
          <w:r>
            <w:rPr>
              <w:rFonts w:eastAsia="" w:cs=""/>
              <w:kern w:val="0"/>
              <w:sz w:val="24"/>
              <w:szCs w:val="24"/>
              <w:lang w:val="en-GB" w:eastAsia="ja-JP" w:bidi="ar-SA"/>
            </w:rPr>
          </w:r>
        </w:p>
      </w:tc>
      <w:tc>
        <w:tcPr>
          <w:tcW w:w="3005" w:type="dxa"/>
          <w:tcBorders/>
        </w:tcPr>
        <w:p>
          <w:pPr>
            <w:pStyle w:val="Header"/>
            <w:widowControl/>
            <w:suppressAutoHyphens w:val="true"/>
            <w:bidi w:val="0"/>
            <w:spacing w:before="0" w:after="0"/>
            <w:ind w:end="-115"/>
            <w:jc w:val="end"/>
            <w:rPr>
              <w:rFonts w:ascii="Aptos" w:hAnsi="Aptos" w:eastAsia="" w:cs=""/>
              <w:kern w:val="0"/>
              <w:sz w:val="24"/>
              <w:szCs w:val="24"/>
              <w:lang w:val="en-GB" w:eastAsia="ja-JP" w:bidi="ar-SA"/>
            </w:rPr>
          </w:pPr>
          <w:r>
            <w:rPr>
              <w:rFonts w:eastAsia="" w:cs=""/>
              <w:kern w:val="0"/>
              <w:sz w:val="24"/>
              <w:szCs w:val="24"/>
              <w:lang w:val="en-GB" w:eastAsia="ja-JP" w:bidi="ar-SA"/>
            </w:rPr>
          </w:r>
        </w:p>
      </w:tc>
    </w:tr>
  </w:tbl>
  <w:p>
    <w:pPr>
      <w:pStyle w:val="Footer"/>
      <w:bidi w:val="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Normal"/>
      <w:tblW w:w="9015" w:type="dxa"/>
      <w:jc w:val="start"/>
      <w:tblInd w:w="0" w:type="dxa"/>
      <w:tblLayout w:type="fixed"/>
      <w:tblCellMar>
        <w:top w:w="0" w:type="dxa"/>
        <w:start w:w="108" w:type="dxa"/>
        <w:bottom w:w="0" w:type="dxa"/>
        <w:end w:w="108" w:type="dxa"/>
      </w:tblCellMar>
      <w:tblLook w:val="06a0" w:noHBand="1" w:noVBand="1" w:firstColumn="1" w:lastRow="0" w:lastColumn="0" w:firstRow="1"/>
    </w:tblPr>
    <w:tblGrid>
      <w:gridCol w:w="3005"/>
      <w:gridCol w:w="3005"/>
      <w:gridCol w:w="3005"/>
    </w:tblGrid>
    <w:tr>
      <w:trPr>
        <w:trHeight w:val="300" w:hRule="atLeast"/>
      </w:trPr>
      <w:tc>
        <w:tcPr>
          <w:tcW w:w="3005" w:type="dxa"/>
          <w:tcBorders/>
        </w:tcPr>
        <w:p>
          <w:pPr>
            <w:pStyle w:val="Header"/>
            <w:widowControl/>
            <w:suppressAutoHyphens w:val="true"/>
            <w:bidi w:val="0"/>
            <w:spacing w:lineRule="auto" w:line="240" w:before="0" w:after="0"/>
            <w:ind w:start="-115"/>
            <w:jc w:val="start"/>
            <w:rPr>
              <w:rFonts w:ascii="Aptos" w:hAnsi="Aptos" w:eastAsia="" w:cs=""/>
              <w:kern w:val="0"/>
              <w:sz w:val="24"/>
              <w:szCs w:val="24"/>
              <w:lang w:val="en-GB" w:eastAsia="ja-JP" w:bidi="ar-SA"/>
            </w:rPr>
          </w:pPr>
          <w:r>
            <w:rPr>
              <w:rFonts w:eastAsia="Calibri" w:cs="Calibri" w:ascii="Calibri" w:hAnsi="Calibri"/>
              <w:b/>
              <w:bCs/>
              <w:i w:val="false"/>
              <w:iCs w:val="false"/>
              <w:caps w:val="false"/>
              <w:smallCaps w:val="false"/>
              <w:color w:themeColor="text1" w:val="000000"/>
              <w:kern w:val="0"/>
              <w:sz w:val="28"/>
              <w:szCs w:val="28"/>
              <w:lang w:val="en-GB" w:eastAsia="ja-JP" w:bidi="ar-SA"/>
            </w:rPr>
            <w:t xml:space="preserve">Circular Revolution </w:t>
          </w:r>
          <w:r>
            <w:rPr>
              <w:rFonts w:eastAsia="Calibri" w:cs="Calibri" w:ascii="Calibri" w:hAnsi="Calibri"/>
              <w:b/>
              <w:bCs/>
              <w:i w:val="false"/>
              <w:iCs w:val="false"/>
              <w:caps w:val="false"/>
              <w:smallCaps w:val="false"/>
              <w:color w:themeColor="text1" w:val="000000"/>
              <w:kern w:val="0"/>
              <w:sz w:val="32"/>
              <w:szCs w:val="32"/>
              <w:lang w:val="en-GB" w:eastAsia="ja-JP" w:bidi="ar-SA"/>
            </w:rPr>
            <w:t xml:space="preserve"> </w:t>
          </w:r>
          <w:r>
            <w:rPr>
              <w:rFonts w:eastAsia="" w:cs=""/>
              <w:kern w:val="0"/>
              <w:sz w:val="24"/>
              <w:szCs w:val="24"/>
              <w:lang w:val="en-GB" w:eastAsia="ja-JP" w:bidi="ar-SA"/>
            </w:rPr>
            <w:t xml:space="preserve"> </w:t>
          </w:r>
        </w:p>
      </w:tc>
      <w:tc>
        <w:tcPr>
          <w:tcW w:w="3005" w:type="dxa"/>
          <w:tcBorders/>
        </w:tcPr>
        <w:p>
          <w:pPr>
            <w:pStyle w:val="Header"/>
            <w:widowControl/>
            <w:suppressAutoHyphens w:val="true"/>
            <w:bidi w:val="0"/>
            <w:spacing w:before="0" w:after="0"/>
            <w:jc w:val="center"/>
            <w:rPr>
              <w:rFonts w:ascii="Aptos" w:hAnsi="Aptos" w:eastAsia="" w:cs=""/>
              <w:kern w:val="0"/>
              <w:sz w:val="24"/>
              <w:szCs w:val="24"/>
              <w:lang w:val="en-GB" w:eastAsia="ja-JP" w:bidi="ar-SA"/>
            </w:rPr>
          </w:pPr>
          <w:r>
            <w:rPr/>
            <w:drawing>
              <wp:inline distT="0" distB="0" distL="0" distR="0">
                <wp:extent cx="1285875" cy="98107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1285875" cy="981075"/>
                        </a:xfrm>
                        <a:prstGeom prst="rect">
                          <a:avLst/>
                        </a:prstGeom>
                        <a:noFill/>
                      </pic:spPr>
                    </pic:pic>
                  </a:graphicData>
                </a:graphic>
              </wp:inline>
            </w:drawing>
          </w:r>
          <w:r>
            <w:rPr>
              <w:rFonts w:eastAsia="" w:cs=""/>
              <w:kern w:val="0"/>
              <w:sz w:val="24"/>
              <w:szCs w:val="24"/>
              <w:lang w:val="en-GB" w:eastAsia="ja-JP" w:bidi="ar-SA"/>
            </w:rPr>
            <w:br/>
          </w:r>
        </w:p>
      </w:tc>
      <w:tc>
        <w:tcPr>
          <w:tcW w:w="3005" w:type="dxa"/>
          <w:tcBorders/>
        </w:tcPr>
        <w:p>
          <w:pPr>
            <w:pStyle w:val="Header"/>
            <w:widowControl/>
            <w:suppressAutoHyphens w:val="true"/>
            <w:bidi w:val="0"/>
            <w:spacing w:before="0" w:after="0"/>
            <w:ind w:end="-115"/>
            <w:jc w:val="end"/>
            <w:rPr>
              <w:lang w:val="en-GB"/>
            </w:rPr>
          </w:pPr>
          <w:r>
            <w:rPr>
              <w:rFonts w:eastAsia="Calibri" w:cs="Calibri" w:ascii="Calibri" w:hAnsi="Calibri"/>
              <w:b/>
              <w:bCs/>
              <w:i w:val="false"/>
              <w:iCs w:val="false"/>
              <w:caps w:val="false"/>
              <w:smallCaps w:val="false"/>
              <w:color w:themeColor="text1" w:val="000000"/>
              <w:kern w:val="0"/>
              <w:sz w:val="28"/>
              <w:szCs w:val="28"/>
              <w:lang w:val="en-GB" w:eastAsia="ja-JP" w:bidi="ar-SA"/>
            </w:rPr>
            <w:t>C.I.C Co-Op</w:t>
          </w:r>
          <w:r>
            <w:rPr>
              <w:rFonts w:eastAsia="" w:cs=""/>
              <w:kern w:val="0"/>
              <w:sz w:val="24"/>
              <w:szCs w:val="24"/>
              <w:lang w:val="en-GB" w:eastAsia="ja-JP" w:bidi="ar-SA"/>
            </w:rPr>
            <w:br/>
          </w:r>
        </w:p>
      </w:tc>
    </w:tr>
  </w:tbl>
  <w:p>
    <w:pPr>
      <w:pStyle w:val="Header"/>
      <w:bidi w:val="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Normal"/>
      <w:tblW w:w="9015" w:type="dxa"/>
      <w:jc w:val="start"/>
      <w:tblInd w:w="0" w:type="dxa"/>
      <w:tblLayout w:type="fixed"/>
      <w:tblCellMar>
        <w:top w:w="0" w:type="dxa"/>
        <w:start w:w="108" w:type="dxa"/>
        <w:bottom w:w="0" w:type="dxa"/>
        <w:end w:w="108" w:type="dxa"/>
      </w:tblCellMar>
      <w:tblLook w:val="06a0" w:noHBand="1" w:noVBand="1" w:firstColumn="1" w:lastRow="0" w:lastColumn="0" w:firstRow="1"/>
    </w:tblPr>
    <w:tblGrid>
      <w:gridCol w:w="3005"/>
      <w:gridCol w:w="3005"/>
      <w:gridCol w:w="3005"/>
    </w:tblGrid>
    <w:tr>
      <w:trPr>
        <w:trHeight w:val="300" w:hRule="atLeast"/>
      </w:trPr>
      <w:tc>
        <w:tcPr>
          <w:tcW w:w="3005" w:type="dxa"/>
          <w:tcBorders/>
        </w:tcPr>
        <w:p>
          <w:pPr>
            <w:pStyle w:val="Header"/>
            <w:widowControl/>
            <w:suppressAutoHyphens w:val="true"/>
            <w:bidi w:val="0"/>
            <w:spacing w:lineRule="auto" w:line="240" w:before="0" w:after="0"/>
            <w:ind w:start="-115"/>
            <w:jc w:val="start"/>
            <w:rPr>
              <w:rFonts w:ascii="Aptos" w:hAnsi="Aptos" w:eastAsia="" w:cs=""/>
              <w:kern w:val="0"/>
              <w:sz w:val="24"/>
              <w:szCs w:val="24"/>
              <w:lang w:val="en-GB" w:eastAsia="ja-JP" w:bidi="ar-SA"/>
            </w:rPr>
          </w:pPr>
          <w:r>
            <w:rPr>
              <w:rFonts w:eastAsia="Calibri" w:cs="Calibri" w:ascii="Calibri" w:hAnsi="Calibri"/>
              <w:b/>
              <w:bCs/>
              <w:i w:val="false"/>
              <w:iCs w:val="false"/>
              <w:caps w:val="false"/>
              <w:smallCaps w:val="false"/>
              <w:color w:themeColor="text1" w:val="000000"/>
              <w:kern w:val="0"/>
              <w:sz w:val="28"/>
              <w:szCs w:val="28"/>
              <w:lang w:val="en-GB" w:eastAsia="ja-JP" w:bidi="ar-SA"/>
            </w:rPr>
            <w:t xml:space="preserve">Circular Revolution </w:t>
          </w:r>
          <w:r>
            <w:rPr>
              <w:rFonts w:eastAsia="Calibri" w:cs="Calibri" w:ascii="Calibri" w:hAnsi="Calibri"/>
              <w:b/>
              <w:bCs/>
              <w:i w:val="false"/>
              <w:iCs w:val="false"/>
              <w:caps w:val="false"/>
              <w:smallCaps w:val="false"/>
              <w:color w:themeColor="text1" w:val="000000"/>
              <w:kern w:val="0"/>
              <w:sz w:val="32"/>
              <w:szCs w:val="32"/>
              <w:lang w:val="en-GB" w:eastAsia="ja-JP" w:bidi="ar-SA"/>
            </w:rPr>
            <w:t xml:space="preserve"> </w:t>
          </w:r>
          <w:r>
            <w:rPr>
              <w:rFonts w:eastAsia="" w:cs=""/>
              <w:kern w:val="0"/>
              <w:sz w:val="24"/>
              <w:szCs w:val="24"/>
              <w:lang w:val="en-GB" w:eastAsia="ja-JP" w:bidi="ar-SA"/>
            </w:rPr>
            <w:t xml:space="preserve"> </w:t>
          </w:r>
        </w:p>
      </w:tc>
      <w:tc>
        <w:tcPr>
          <w:tcW w:w="3005" w:type="dxa"/>
          <w:tcBorders/>
        </w:tcPr>
        <w:p>
          <w:pPr>
            <w:pStyle w:val="Header"/>
            <w:widowControl/>
            <w:suppressAutoHyphens w:val="true"/>
            <w:bidi w:val="0"/>
            <w:spacing w:before="0" w:after="0"/>
            <w:jc w:val="center"/>
            <w:rPr>
              <w:rFonts w:ascii="Aptos" w:hAnsi="Aptos" w:eastAsia="" w:cs=""/>
              <w:kern w:val="0"/>
              <w:sz w:val="24"/>
              <w:szCs w:val="24"/>
              <w:lang w:val="en-GB" w:eastAsia="ja-JP" w:bidi="ar-SA"/>
            </w:rPr>
          </w:pPr>
          <w:r>
            <w:rPr/>
            <w:drawing>
              <wp:inline distT="0" distB="0" distL="0" distR="0">
                <wp:extent cx="1285875" cy="98107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
                        <a:stretch>
                          <a:fillRect/>
                        </a:stretch>
                      </pic:blipFill>
                      <pic:spPr bwMode="auto">
                        <a:xfrm>
                          <a:off x="0" y="0"/>
                          <a:ext cx="1285875" cy="981075"/>
                        </a:xfrm>
                        <a:prstGeom prst="rect">
                          <a:avLst/>
                        </a:prstGeom>
                        <a:noFill/>
                      </pic:spPr>
                    </pic:pic>
                  </a:graphicData>
                </a:graphic>
              </wp:inline>
            </w:drawing>
          </w:r>
          <w:r>
            <w:rPr>
              <w:rFonts w:eastAsia="" w:cs=""/>
              <w:kern w:val="0"/>
              <w:sz w:val="24"/>
              <w:szCs w:val="24"/>
              <w:lang w:val="en-GB" w:eastAsia="ja-JP" w:bidi="ar-SA"/>
            </w:rPr>
            <w:br/>
          </w:r>
        </w:p>
      </w:tc>
      <w:tc>
        <w:tcPr>
          <w:tcW w:w="3005" w:type="dxa"/>
          <w:tcBorders/>
        </w:tcPr>
        <w:p>
          <w:pPr>
            <w:pStyle w:val="Header"/>
            <w:widowControl/>
            <w:suppressAutoHyphens w:val="true"/>
            <w:bidi w:val="0"/>
            <w:spacing w:before="0" w:after="0"/>
            <w:ind w:end="-115"/>
            <w:jc w:val="end"/>
            <w:rPr>
              <w:lang w:val="en-GB"/>
            </w:rPr>
          </w:pPr>
          <w:r>
            <w:rPr>
              <w:rFonts w:eastAsia="Calibri" w:cs="Calibri" w:ascii="Calibri" w:hAnsi="Calibri"/>
              <w:b/>
              <w:bCs/>
              <w:i w:val="false"/>
              <w:iCs w:val="false"/>
              <w:caps w:val="false"/>
              <w:smallCaps w:val="false"/>
              <w:color w:themeColor="text1" w:val="000000"/>
              <w:kern w:val="0"/>
              <w:sz w:val="28"/>
              <w:szCs w:val="28"/>
              <w:lang w:val="en-GB" w:eastAsia="ja-JP" w:bidi="ar-SA"/>
            </w:rPr>
            <w:t>C.I.C Co-Op</w:t>
          </w:r>
          <w:r>
            <w:rPr>
              <w:rFonts w:eastAsia="" w:cs=""/>
              <w:kern w:val="0"/>
              <w:sz w:val="24"/>
              <w:szCs w:val="24"/>
              <w:lang w:val="en-GB" w:eastAsia="ja-JP" w:bidi="ar-SA"/>
            </w:rPr>
            <w:br/>
          </w:r>
        </w:p>
      </w:tc>
    </w:tr>
  </w:tbl>
  <w:p>
    <w:pPr>
      <w:pStyle w:val="Header"/>
      <w:bidi w:val="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nothing"/>
      <w:lvlText w:val=""/>
      <w:lvlJc w:val="start"/>
      <w:pPr>
        <w:tabs>
          <w:tab w:val="num" w:pos="0"/>
        </w:tabs>
        <w:ind w:start="0" w:hanging="0"/>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 w:cs="" w:asciiTheme="minorHAnsi" w:cstheme="minorBidi" w:eastAsiaTheme="minorEastAsia" w:hAnsiTheme="minorHAnsi"/>
        <w:sz w:val="24"/>
        <w:szCs w:val="24"/>
        <w:lang w:val="en-GB" w:eastAsia="ja-JP"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8" w:before="0" w:after="160"/>
      <w:jc w:val="start"/>
    </w:pPr>
    <w:rPr>
      <w:rFonts w:ascii="Aptos" w:hAnsi="Aptos" w:eastAsia="" w:cs="" w:asciiTheme="minorHAnsi" w:cstheme="minorBidi" w:eastAsiaTheme="minorEastAsia" w:hAnsiTheme="minorHAnsi"/>
      <w:color w:val="auto"/>
      <w:kern w:val="0"/>
      <w:sz w:val="24"/>
      <w:szCs w:val="24"/>
      <w:lang w:val="en-GB" w:eastAsia="ja-JP" w:bidi="ar-SA"/>
    </w:rPr>
  </w:style>
  <w:style w:type="paragraph" w:styleId="Heading1">
    <w:name w:val="heading 1"/>
    <w:basedOn w:val="Normal"/>
    <w:next w:val="Normal"/>
    <w:link w:val="Heading1Char"/>
    <w:uiPriority w:val="9"/>
    <w:qFormat/>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unhideWhenUsed/>
    <w:qFormat/>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unhideWhenUsed/>
    <w:qFormat/>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unhideWhenUsed/>
    <w:qFormat/>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unhideWhenUsed/>
    <w:qFormat/>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unhideWhenUsed/>
    <w:qFormat/>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unhideWhenUsed/>
    <w:qFormat/>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unhideWhenUsed/>
    <w:qFormat/>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unhideWhenUsed/>
    <w:qFormat/>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rPr/>
  </w:style>
  <w:style w:type="character" w:styleId="Heading1Char" w:customStyle="1">
    <w:name w:val="Heading 1 Char"/>
    <w:basedOn w:val="DefaultParagraphFont"/>
    <w:link w:val="Heading1"/>
    <w:uiPriority w:val="9"/>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rPr>
      <w:rFonts w:eastAsia="" w:cs="" w:cstheme="majorBidi" w:eastAsiaTheme="majorEastAsia"/>
      <w:color w:themeColor="text1" w:themeTint="d8" w:val="272727"/>
    </w:rPr>
  </w:style>
  <w:style w:type="character" w:styleId="TitleChar" w:customStyle="1">
    <w:name w:val="Title Char"/>
    <w:basedOn w:val="DefaultParagraphFont"/>
    <w:link w:val="Title"/>
    <w:uiPriority w:val="10"/>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rPr>
      <w:rFonts w:eastAsia="" w:cs="" w:cstheme="majorBidi" w:eastAsiaTheme="majorEastAsia"/>
      <w:color w:themeColor="text1" w:themeTint="a6" w:val="595959"/>
      <w:spacing w:val="15"/>
      <w:sz w:val="28"/>
      <w:szCs w:val="28"/>
    </w:rPr>
  </w:style>
  <w:style w:type="character" w:styleId="IntenseEmphasis">
    <w:name w:val="Intense Emphasis"/>
    <w:basedOn w:val="DefaultParagraphFont"/>
    <w:uiPriority w:val="21"/>
    <w:qFormat/>
    <w:rPr>
      <w:i/>
      <w:iCs/>
      <w:color w:themeColor="accent1" w:themeShade="bf" w:val="0F4761"/>
    </w:rPr>
  </w:style>
  <w:style w:type="character" w:styleId="QuoteChar" w:customStyle="1">
    <w:name w:val="Quote Char"/>
    <w:basedOn w:val="DefaultParagraphFont"/>
    <w:link w:val="Quote"/>
    <w:uiPriority w:val="29"/>
    <w:rPr>
      <w:i/>
      <w:iCs/>
      <w:color w:themeColor="text1" w:themeTint="bf" w:val="404040"/>
    </w:rPr>
  </w:style>
  <w:style w:type="character" w:styleId="IntenseQuoteChar" w:customStyle="1">
    <w:name w:val="Intense Quote Char"/>
    <w:basedOn w:val="DefaultParagraphFont"/>
    <w:link w:val="IntenseQuote"/>
    <w:uiPriority w:val="30"/>
    <w:rPr>
      <w:i/>
      <w:iCs/>
      <w:color w:themeColor="accent1" w:themeShade="bf" w:val="0F4761"/>
    </w:rPr>
  </w:style>
  <w:style w:type="character" w:styleId="IntenseReference">
    <w:name w:val="Intense Reference"/>
    <w:basedOn w:val="DefaultParagraphFont"/>
    <w:uiPriority w:val="32"/>
    <w:qFormat/>
    <w:rPr>
      <w:b/>
      <w:bCs/>
      <w:smallCaps/>
      <w:color w:themeColor="accent1" w:themeShade="bf" w:val="0F4761"/>
      <w:spacing w:val="5"/>
    </w:rPr>
  </w:style>
  <w:style w:type="character" w:styleId="Bulletsuser">
    <w:name w:val="Bullets (user)"/>
    <w:qFormat/>
    <w:rPr>
      <w:rFonts w:ascii="OpenSymbol" w:hAnsi="OpenSymbol" w:eastAsia="OpenSymbol" w:cs="OpenSymbol"/>
    </w:rPr>
  </w:style>
  <w:style w:type="character" w:styleId="FootnoteCharactersuser">
    <w:name w:val="Footnote Characters (user)"/>
    <w:qFormat/>
    <w:rPr/>
  </w:style>
  <w:style w:type="character" w:styleId="EndnoteCharactersuser">
    <w:name w:val="Endnote Characters (user)"/>
    <w:qFormat/>
    <w:rPr/>
  </w:style>
  <w:style w:type="character" w:styleId="Hyperlink">
    <w:name w:val="Hyperlink"/>
    <w:rPr>
      <w:color w:val="000080"/>
      <w:u w:val="single"/>
    </w:rPr>
  </w:style>
  <w:style w:type="character" w:styleId="FollowedHyperlink">
    <w:name w:val="FollowedHyperlink"/>
    <w:rPr>
      <w:color w:val="800000"/>
      <w:u w:val="single"/>
    </w:rPr>
  </w:style>
  <w:style w:type="character" w:styleId="Bullets">
    <w:name w:val="Bullets"/>
    <w:qFormat/>
    <w:rPr>
      <w:rFonts w:ascii="OpenSymbol" w:hAnsi="OpenSymbol" w:eastAsia="OpenSymbol" w:cs="OpenSymbol"/>
    </w:rPr>
  </w:style>
  <w:style w:type="character" w:styleId="FootnoteCharacters">
    <w:name w:val="Footnote Characters"/>
    <w:qFormat/>
    <w:rPr/>
  </w:style>
  <w:style w:type="character" w:styleId="EndnoteCharacters">
    <w:name w:val="Endnote Characters"/>
    <w:qForma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itle">
    <w:name w:val="Title"/>
    <w:basedOn w:val="Normal"/>
    <w:next w:val="Normal"/>
    <w:link w:val="TitleChar"/>
    <w:uiPriority w:val="10"/>
    <w:qFormat/>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pPr>
      <w:spacing w:before="160" w:after="160"/>
      <w:jc w:val="center"/>
    </w:pPr>
    <w:rPr>
      <w:i/>
      <w:iCs/>
      <w:color w:themeColor="text1" w:themeTint="bf" w:val="404040"/>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HeaderandFooter">
    <w:name w:val="Header and Footer"/>
    <w:basedOn w:val="Normal"/>
    <w:qFormat/>
    <w:pPr/>
    <w:rPr/>
  </w:style>
  <w:style w:type="paragraph" w:styleId="Header">
    <w:name w:val="header"/>
    <w:basedOn w:val="Normal"/>
    <w:uiPriority w:val="99"/>
    <w:unhideWhenUsed/>
    <w:rsid w:val="5dda8624"/>
    <w:pPr>
      <w:tabs>
        <w:tab w:val="clear" w:pos="720"/>
        <w:tab w:val="center" w:pos="4680" w:leader="none"/>
        <w:tab w:val="right" w:pos="9360" w:leader="none"/>
      </w:tabs>
      <w:spacing w:lineRule="auto" w:line="240" w:before="0" w:after="0"/>
    </w:pPr>
    <w:rPr/>
  </w:style>
  <w:style w:type="paragraph" w:styleId="Footer">
    <w:name w:val="footer"/>
    <w:basedOn w:val="Normal"/>
    <w:uiPriority w:val="99"/>
    <w:unhideWhenUsed/>
    <w:rsid w:val="5dda8624"/>
    <w:pPr>
      <w:tabs>
        <w:tab w:val="clear" w:pos="720"/>
        <w:tab w:val="center" w:pos="4680" w:leader="none"/>
        <w:tab w:val="right" w:pos="9360" w:leader="none"/>
      </w:tabs>
      <w:spacing w:lineRule="auto" w:line="240" w:before="0" w:after="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ListContents">
    <w:name w:val="List Contents"/>
    <w:basedOn w:val="Normal"/>
    <w:qFormat/>
    <w:pPr>
      <w:ind w:start="567"/>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e4bc53-800f-4036-9486-bec2318f0b8a">
      <Terms xmlns="http://schemas.microsoft.com/office/infopath/2007/PartnerControls"/>
    </lcf76f155ced4ddcb4097134ff3c332f>
    <TaxCatchAll xmlns="a0230b50-e156-47a1-99d3-fa705acdcb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3CD4C5E776764594E55736DDBBAC1D" ma:contentTypeVersion="18" ma:contentTypeDescription="Create a new document." ma:contentTypeScope="" ma:versionID="8c10766a2d81daca8b6382705433306e">
  <xsd:schema xmlns:xsd="http://www.w3.org/2001/XMLSchema" xmlns:xs="http://www.w3.org/2001/XMLSchema" xmlns:p="http://schemas.microsoft.com/office/2006/metadata/properties" xmlns:ns2="0be4bc53-800f-4036-9486-bec2318f0b8a" xmlns:ns3="a0230b50-e156-47a1-99d3-fa705acdcbba" targetNamespace="http://schemas.microsoft.com/office/2006/metadata/properties" ma:root="true" ma:fieldsID="4a069ca12b262f22034fad751511ba83" ns2:_="" ns3:_="">
    <xsd:import namespace="0be4bc53-800f-4036-9486-bec2318f0b8a"/>
    <xsd:import namespace="a0230b50-e156-47a1-99d3-fa705acdcb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4bc53-800f-4036-9486-bec2318f0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223fe3-752e-4579-93a6-687d665036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230b50-e156-47a1-99d3-fa705acdcbb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0193137-23e2-427c-bb3c-b4d9421dcfc9}" ma:internalName="TaxCatchAll" ma:showField="CatchAllData" ma:web="a0230b50-e156-47a1-99d3-fa705acdc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C7C97D-A77B-4170-8F75-785C2957544F}"/>
</file>

<file path=customXml/itemProps2.xml><?xml version="1.0" encoding="utf-8"?>
<ds:datastoreItem xmlns:ds="http://schemas.openxmlformats.org/officeDocument/2006/customXml" ds:itemID="{96B8142D-0323-4AAF-A941-374480A2018D}"/>
</file>

<file path=customXml/itemProps3.xml><?xml version="1.0" encoding="utf-8"?>
<ds:datastoreItem xmlns:ds="http://schemas.openxmlformats.org/officeDocument/2006/customXml" ds:itemID="{20C337B9-E607-4BD2-A7B1-0AE0D2E8A8B0}"/>
</file>

<file path=docProps/app.xml><?xml version="1.0" encoding="utf-8"?>
<Properties xmlns="http://schemas.openxmlformats.org/officeDocument/2006/extended-properties" xmlns:vt="http://schemas.openxmlformats.org/officeDocument/2006/docPropsVTypes">
  <Template>Normal.dotm</Template>
  <TotalTime>56</TotalTime>
  <Application>Collabora_Office/25.04.8.3$Linux_X86_64 LibreOffice_project/9b4357e5e7d2aea36bb0c44c25e7b4e3c8b3ba0b</Application>
  <AppVersion>15.0000</AppVersion>
  <Pages>3</Pages>
  <Words>857</Words>
  <Characters>4480</Characters>
  <CharactersWithSpaces>5348</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2025-02-03T16:51:16Z</dcterms:created>
  <dc:creator>Isobel Jones</dc:creator>
  <dc:description/>
  <dc:language>en-US</dc:language>
  <cp:lastModifiedBy/>
  <cp:lastPrinted>2026-03-13T15:38:25Z</cp:lastPrinted>
  <dcterms:modified xsi:type="dcterms:W3CDTF">2026-04-14T16:56:43Z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0x010100F13CD4C5E776764594E55736DDBBAC1D</vt:lpwstr>
  </property>
  <property fmtid="{D5CDD505-2E9C-101B-9397-08002B2CF9AE}" pid="3" name="MediaServiceImageTags">
    <vt:lpwstr/>
  </property>
</Properties>
</file>